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rFonts w:ascii="Georgia" w:cs="Georgia" w:eastAsia="Georgia" w:hAnsi="Georgia"/>
          <w:color w:val="1C1C1C"/>
          <w:sz w:val="56"/>
          <w:szCs w:val="56"/>
        </w:rPr>
        <w:t xml:space="preserve">Arunraj Rajendran </w:t>
      </w:r>
      <w:r>
        <w:rPr>
          <w:rFonts w:ascii="Georgia" w:cs="Georgia" w:eastAsia="Georgia" w:hAnsi="Georgia"/>
          <w:color w:val="6E6E6E"/>
          <w:sz w:val="56"/>
          <w:szCs w:val="56"/>
        </w:rPr>
        <w:t xml:space="preserve">(Arun)</w:t>
      </w:r>
    </w:p>
    <w:p>
      <w:pPr>
        <w:spacing w:after="110"/>
      </w:pPr>
      <w:r>
        <w:rPr>
          <w:rFonts w:ascii="Calibri" w:cs="Calibri" w:eastAsia="Calibri" w:hAnsi="Calibri"/>
          <w:i/>
          <w:iCs/>
          <w:color w:val="1F4A44"/>
          <w:sz w:val="22"/>
          <w:szCs w:val="22"/>
        </w:rPr>
        <w:t xml:space="preserve">Product Manager — and much more..</w:t>
      </w:r>
    </w:p>
    <w:p>
      <w:pPr>
        <w:pBdr>
          <w:bottom w:val="single" w:color="1F4A44" w:sz="6" w:space="6"/>
        </w:pBdr>
        <w:spacing w:after="30"/>
      </w:pPr>
      <w:r>
        <w:rPr>
          <w:rFonts w:ascii="Calibri" w:cs="Calibri" w:eastAsia="Calibri" w:hAnsi="Calibri"/>
          <w:color w:val="6E6E6E"/>
          <w:sz w:val="18"/>
          <w:szCs w:val="18"/>
        </w:rPr>
        <w:t xml:space="preserve">Bengaluru, India</w:t>
      </w:r>
      <w:r>
        <w:rPr>
          <w:rFonts w:ascii="Calibri" w:cs="Calibri" w:eastAsia="Calibri" w:hAnsi="Calibri"/>
          <w:color w:val="D8D8D8"/>
          <w:sz w:val="18"/>
          <w:szCs w:val="18"/>
        </w:rPr>
        <w:t xml:space="preserve">   /   </w:t>
      </w:r>
      <w:r>
        <w:rPr>
          <w:rFonts w:ascii="Calibri" w:cs="Calibri" w:eastAsia="Calibri" w:hAnsi="Calibri"/>
          <w:color w:val="6E6E6E"/>
          <w:sz w:val="18"/>
          <w:szCs w:val="18"/>
        </w:rPr>
        <w:t xml:space="preserve">arunrajr112@gmail.com</w:t>
      </w:r>
      <w:r>
        <w:rPr>
          <w:rFonts w:ascii="Calibri" w:cs="Calibri" w:eastAsia="Calibri" w:hAnsi="Calibri"/>
          <w:color w:val="D8D8D8"/>
          <w:sz w:val="18"/>
          <w:szCs w:val="18"/>
        </w:rPr>
        <w:t xml:space="preserve">   /   </w:t>
      </w:r>
      <w:r>
        <w:rPr>
          <w:rFonts w:ascii="Calibri" w:cs="Calibri" w:eastAsia="Calibri" w:hAnsi="Calibri"/>
          <w:color w:val="6E6E6E"/>
          <w:sz w:val="18"/>
          <w:szCs w:val="18"/>
        </w:rPr>
        <w:t xml:space="preserve">+91 82 8989 5668</w:t>
      </w:r>
      <w:r>
        <w:rPr>
          <w:rFonts w:ascii="Calibri" w:cs="Calibri" w:eastAsia="Calibri" w:hAnsi="Calibri"/>
          <w:color w:val="D8D8D8"/>
          <w:sz w:val="18"/>
          <w:szCs w:val="18"/>
        </w:rPr>
        <w:t xml:space="preserve">   /   </w:t>
      </w:r>
      <w:r>
        <w:rPr>
          <w:rFonts w:ascii="Calibri" w:cs="Calibri" w:eastAsia="Calibri" w:hAnsi="Calibri"/>
          <w:color w:val="6E6E6E"/>
          <w:sz w:val="18"/>
          <w:szCs w:val="18"/>
        </w:rPr>
        <w:t xml:space="preserve">linkedin.com/in/raj-arun</w:t>
      </w:r>
      <w:r>
        <w:rPr>
          <w:rFonts w:ascii="Calibri" w:cs="Calibri" w:eastAsia="Calibri" w:hAnsi="Calibri"/>
          <w:color w:val="D8D8D8"/>
          <w:sz w:val="18"/>
          <w:szCs w:val="18"/>
        </w:rPr>
        <w:t xml:space="preserve">   /   </w:t>
      </w:r>
      <w:r>
        <w:rPr>
          <w:rFonts w:ascii="Calibri" w:cs="Calibri" w:eastAsia="Calibri" w:hAnsi="Calibri"/>
          <w:color w:val="6E6E6E"/>
          <w:sz w:val="18"/>
          <w:szCs w:val="18"/>
        </w:rPr>
        <w:t xml:space="preserve">github.com/iarunrajr112</w:t>
      </w:r>
    </w:p>
    <w:p>
      <w:pPr>
        <w:spacing w:after="30" w:before="130" w:line="254"/>
        <w:jc w:val="both"/>
      </w:pPr>
      <w:r>
        <w:rPr>
          <w:rFonts w:ascii="Calibri" w:cs="Calibri" w:eastAsia="Calibri" w:hAnsi="Calibri"/>
          <w:color w:val="1C1C1C"/>
          <w:sz w:val="20"/>
          <w:szCs w:val="20"/>
        </w:rPr>
        <w:t xml:space="preserve">Product Manager in the GRC and enterprise SaaS domain, building AI-first workflows, localization capabilities, and modernization initiatives for large-scale incident management products. Recent work includes AI-assisted investigations, configurable intake, international expansion, and semantic layer product architecture. Brings 12+ years across B2B SaaS, startups, product ownership, growth, UI/UX, and entrepreneurship.</w:t>
      </w:r>
    </w:p>
    <w:p>
      <w:pPr>
        <w:pBdr>
          <w:bottom w:val="single" w:color="D8D8D8" w:sz="4" w:space="4"/>
        </w:pBdr>
        <w:spacing w:after="85" w:before="150"/>
      </w:pPr>
      <w:r>
        <w:rPr>
          <w:rFonts w:ascii="Calibri" w:cs="Calibri" w:eastAsia="Calibri" w:hAnsi="Calibri"/>
          <w:b/>
          <w:bCs/>
          <w:color w:val="1F4A44"/>
          <w:spacing w:val="22"/>
          <w:sz w:val="19"/>
          <w:szCs w:val="19"/>
        </w:rPr>
        <w:t xml:space="preserve">LAST 12 MONTHS IMPACT</w:t>
      </w:r>
    </w:p>
    <w:p>
      <w:pPr>
        <w:spacing w:after="46" w:line="246"/>
        <w:ind w:left="230" w:hanging="172"/>
      </w:pPr>
      <w:r>
        <w:rPr>
          <w:rFonts w:ascii="Calibri" w:cs="Calibri" w:eastAsia="Calibri" w:hAnsi="Calibri"/>
          <w:b/>
          <w:bCs/>
          <w:color w:val="1F4A44"/>
          <w:sz w:val="20"/>
          <w:szCs w:val="20"/>
        </w:rPr>
        <w:t xml:space="preserve">–  </w:t>
      </w:r>
      <w:r>
        <w:rPr>
          <w:rFonts w:ascii="Calibri" w:cs="Calibri" w:eastAsia="Calibri" w:hAnsi="Calibri"/>
          <w:color w:val="1C1C1C"/>
          <w:sz w:val="20"/>
          <w:szCs w:val="20"/>
        </w:rPr>
        <w:t xml:space="preserve">$500K incremental bookings from Japanese market expansion in the last 6 months.</w:t>
      </w:r>
    </w:p>
    <w:p>
      <w:pPr>
        <w:spacing w:after="46" w:line="246"/>
        <w:ind w:left="230" w:hanging="172"/>
      </w:pPr>
      <w:r>
        <w:rPr>
          <w:rFonts w:ascii="Calibri" w:cs="Calibri" w:eastAsia="Calibri" w:hAnsi="Calibri"/>
          <w:b/>
          <w:bCs/>
          <w:color w:val="1F4A44"/>
          <w:sz w:val="20"/>
          <w:szCs w:val="20"/>
        </w:rPr>
        <w:t xml:space="preserve">–  </w:t>
      </w:r>
      <w:r>
        <w:rPr>
          <w:rFonts w:ascii="Calibri" w:cs="Calibri" w:eastAsia="Calibri" w:hAnsi="Calibri"/>
          <w:color w:val="1C1C1C"/>
          <w:sz w:val="20"/>
          <w:szCs w:val="20"/>
        </w:rPr>
        <w:t xml:space="preserve">Coordinated with Bain on VoC inputs from 200+ customers, prioritizing stabilization and churn-reduction features.</w:t>
      </w:r>
    </w:p>
    <w:p>
      <w:pPr>
        <w:spacing w:after="46" w:line="246"/>
        <w:ind w:left="230" w:hanging="172"/>
      </w:pPr>
      <w:r>
        <w:rPr>
          <w:rFonts w:ascii="Calibri" w:cs="Calibri" w:eastAsia="Calibri" w:hAnsi="Calibri"/>
          <w:b/>
          <w:bCs/>
          <w:color w:val="1F4A44"/>
          <w:sz w:val="20"/>
          <w:szCs w:val="20"/>
        </w:rPr>
        <w:t xml:space="preserve">–  </w:t>
      </w:r>
      <w:r>
        <w:rPr>
          <w:rFonts w:ascii="Calibri" w:cs="Calibri" w:eastAsia="Calibri" w:hAnsi="Calibri"/>
          <w:color w:val="1C1C1C"/>
          <w:sz w:val="20"/>
          <w:szCs w:val="20"/>
        </w:rPr>
        <w:t xml:space="preserve">10% of international clients using more than one language.</w:t>
      </w:r>
    </w:p>
    <w:p>
      <w:pPr>
        <w:spacing w:after="46" w:line="246"/>
        <w:ind w:left="230" w:hanging="172"/>
      </w:pPr>
      <w:r>
        <w:rPr>
          <w:rFonts w:ascii="Calibri" w:cs="Calibri" w:eastAsia="Calibri" w:hAnsi="Calibri"/>
          <w:b/>
          <w:bCs/>
          <w:color w:val="1F4A44"/>
          <w:sz w:val="20"/>
          <w:szCs w:val="20"/>
        </w:rPr>
        <w:t xml:space="preserve">–  </w:t>
      </w:r>
      <w:r>
        <w:rPr>
          <w:rFonts w:ascii="Calibri" w:cs="Calibri" w:eastAsia="Calibri" w:hAnsi="Calibri"/>
          <w:color w:val="1C1C1C"/>
          <w:sz w:val="20"/>
          <w:szCs w:val="20"/>
        </w:rPr>
        <w:t xml:space="preserve">Built AI workflows for case reports, case narratives, related cases, implicated-party screening, AI analytics, and AI intake.</w:t>
      </w:r>
    </w:p>
    <w:p>
      <w:pPr>
        <w:pBdr>
          <w:bottom w:val="single" w:color="D8D8D8" w:sz="4" w:space="4"/>
        </w:pBdr>
        <w:spacing w:after="85" w:before="210"/>
      </w:pPr>
      <w:r>
        <w:rPr>
          <w:rFonts w:ascii="Calibri" w:cs="Calibri" w:eastAsia="Calibri" w:hAnsi="Calibri"/>
          <w:b/>
          <w:bCs/>
          <w:color w:val="1F4A44"/>
          <w:spacing w:val="22"/>
          <w:sz w:val="19"/>
          <w:szCs w:val="19"/>
        </w:rPr>
        <w:t xml:space="preserve">RECENT AI PRODUCT WORK</w:t>
      </w:r>
    </w:p>
    <w:tbl>
      <w:tblPr>
        <w:tblW w:type="dxa" w:w="10034"/>
        <w:tblBorders>
          <w:top w:val="single" w:color="1F4A44" w:sz="8"/>
          <w:left w:val="none" w:color="FFFFFF" w:sz="2"/>
          <w:bottom w:val="none" w:color="FFFFFF" w:sz="2"/>
          <w:right w:val="none" w:color="FFFFFF" w:sz="2"/>
          <w:insideH w:val="single" w:color="D8D8D8" w:sz="4"/>
          <w:insideV w:val="single" w:color="D8D8D8" w:sz="4"/>
        </w:tblBorders>
      </w:tblPr>
      <w:tblGrid>
        <w:gridCol w:w="5017"/>
        <w:gridCol w:w="5017"/>
      </w:tblGrid>
      <w:tr>
        <w:tc>
          <w:tcPr>
            <w:tcW w:type="dxa" w:w="5017"/>
            <w:tcBorders>
              <w:top w:val="none" w:color="FFFFFF" w:sz="2"/>
              <w:left w:val="none" w:color="FFFFFF" w:sz="2"/>
              <w:bottom w:val="none" w:color="FFFFFF" w:sz="2"/>
              <w:right w:val="none" w:color="FFFFFF" w:sz="2"/>
            </w:tcBorders>
            <w:tcMar>
              <w:top w:type="dxa" w:w="120"/>
              <w:left w:type="dxa" w:w="0"/>
              <w:bottom w:type="dxa" w:w="120"/>
              <w:right w:type="dxa" w:w="26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F4A44"/>
                <w:spacing w:val="16"/>
                <w:sz w:val="15"/>
                <w:szCs w:val="15"/>
              </w:rPr>
              <w:t xml:space="preserve">ENTERPRISE INVESTIGATIONS</w:t>
            </w:r>
          </w:p>
          <w:p>
            <w:pPr>
              <w:spacing w:after="45"/>
            </w:pPr>
            <w:r>
              <w:rPr>
                <w:rFonts w:ascii="Calibri" w:cs="Calibri" w:eastAsia="Calibri" w:hAnsi="Calibri"/>
                <w:b/>
                <w:bCs/>
                <w:color w:val="1C1C1C"/>
                <w:sz w:val="20"/>
                <w:szCs w:val="20"/>
              </w:rPr>
              <w:t xml:space="preserve">AI Case Insights</w:t>
            </w:r>
          </w:p>
          <w:p>
            <w:pPr>
              <w:spacing w:after="55" w:line="238"/>
            </w:pPr>
            <w:r>
              <w:rPr>
                <w:rFonts w:ascii="Calibri" w:cs="Calibri" w:eastAsia="Calibri" w:hAnsi="Calibri"/>
                <w:color w:val="3D3D3D"/>
                <w:sz w:val="18"/>
                <w:szCs w:val="18"/>
              </w:rPr>
              <w:t xml:space="preserve">Shaped an AI-assisted workflow that scans evidence, extracts key facts, builds timelines, and drafts investigation reports for human review.</w:t>
            </w:r>
          </w:p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color w:val="6E6E6E"/>
                <w:sz w:val="17"/>
                <w:szCs w:val="17"/>
              </w:rPr>
              <w:t xml:space="preserve">Product move: </w:t>
            </w:r>
            <w:r>
              <w:rPr>
                <w:rFonts w:ascii="Calibri" w:cs="Calibri" w:eastAsia="Calibri" w:hAnsi="Calibri"/>
                <w:i/>
                <w:iCs/>
                <w:color w:val="6E6E6E"/>
                <w:sz w:val="17"/>
                <w:szCs w:val="17"/>
              </w:rPr>
              <w:t xml:space="preserve">AI fact extraction, timeline view, initial report, and final report generation.</w:t>
            </w:r>
          </w:p>
        </w:tc>
        <w:tc>
          <w:tcPr>
            <w:tcW w:type="dxa" w:w="5017"/>
            <w:tcBorders>
              <w:top w:val="none" w:color="FFFFFF" w:sz="2"/>
              <w:left w:val="none" w:color="FFFFFF" w:sz="2"/>
              <w:bottom w:val="none" w:color="FFFFFF" w:sz="2"/>
              <w:right w:val="none" w:color="FFFFFF" w:sz="2"/>
            </w:tcBorders>
            <w:tcMar>
              <w:top w:type="dxa" w:w="120"/>
              <w:left w:type="dxa" w:w="260"/>
              <w:bottom w:type="dxa" w:w="120"/>
              <w:right w:type="dxa" w:w="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F4A44"/>
                <w:spacing w:val="16"/>
                <w:sz w:val="15"/>
                <w:szCs w:val="15"/>
              </w:rPr>
              <w:t xml:space="preserve">CASE INTAKE</w:t>
            </w:r>
          </w:p>
          <w:p>
            <w:pPr>
              <w:spacing w:after="45"/>
            </w:pPr>
            <w:r>
              <w:rPr>
                <w:rFonts w:ascii="Calibri" w:cs="Calibri" w:eastAsia="Calibri" w:hAnsi="Calibri"/>
                <w:b/>
                <w:bCs/>
                <w:color w:val="1C1C1C"/>
                <w:sz w:val="20"/>
                <w:szCs w:val="20"/>
              </w:rPr>
              <w:t xml:space="preserve">Reimagining Intake</w:t>
            </w:r>
          </w:p>
          <w:p>
            <w:pPr>
              <w:spacing w:after="55" w:line="238"/>
            </w:pPr>
            <w:r>
              <w:rPr>
                <w:rFonts w:ascii="Calibri" w:cs="Calibri" w:eastAsia="Calibri" w:hAnsi="Calibri"/>
                <w:color w:val="3D3D3D"/>
                <w:sz w:val="18"/>
                <w:szCs w:val="18"/>
              </w:rPr>
              <w:t xml:space="preserve">Defined a configurable AI-first intake experience that lets customers create branded forms, workflows, fields, and reporting experiences.</w:t>
            </w:r>
          </w:p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color w:val="6E6E6E"/>
                <w:sz w:val="17"/>
                <w:szCs w:val="17"/>
              </w:rPr>
              <w:t xml:space="preserve">Product move: </w:t>
            </w:r>
            <w:r>
              <w:rPr>
                <w:rFonts w:ascii="Calibri" w:cs="Calibri" w:eastAsia="Calibri" w:hAnsi="Calibri"/>
                <w:i/>
                <w:iCs/>
                <w:color w:val="6E6E6E"/>
                <w:sz w:val="17"/>
                <w:szCs w:val="17"/>
              </w:rPr>
              <w:t xml:space="preserve">Custom form builder, AI-assisted setup, workflow configuration, and migration path.</w:t>
            </w:r>
          </w:p>
        </w:tc>
      </w:tr>
      <w:tr>
        <w:tc>
          <w:tcPr>
            <w:tcW w:type="dxa" w:w="5017"/>
            <w:tcBorders>
              <w:top w:val="none" w:color="FFFFFF" w:sz="2"/>
              <w:left w:val="none" w:color="FFFFFF" w:sz="2"/>
              <w:bottom w:val="none" w:color="FFFFFF" w:sz="2"/>
              <w:right w:val="none" w:color="FFFFFF" w:sz="2"/>
            </w:tcBorders>
            <w:tcMar>
              <w:top w:type="dxa" w:w="120"/>
              <w:left w:type="dxa" w:w="0"/>
              <w:bottom w:type="dxa" w:w="120"/>
              <w:right w:type="dxa" w:w="26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F4A44"/>
                <w:spacing w:val="16"/>
                <w:sz w:val="15"/>
                <w:szCs w:val="15"/>
              </w:rPr>
              <w:t xml:space="preserve">PLATFORM MODERNIZATION</w:t>
            </w:r>
          </w:p>
          <w:p>
            <w:pPr>
              <w:spacing w:after="45"/>
            </w:pPr>
            <w:r>
              <w:rPr>
                <w:rFonts w:ascii="Calibri" w:cs="Calibri" w:eastAsia="Calibri" w:hAnsi="Calibri"/>
                <w:b/>
                <w:bCs/>
                <w:color w:val="1C1C1C"/>
                <w:sz w:val="20"/>
                <w:szCs w:val="20"/>
              </w:rPr>
              <w:t xml:space="preserve">Canonical Model &amp; Semantic Layer</w:t>
            </w:r>
          </w:p>
          <w:p>
            <w:pPr>
              <w:spacing w:after="55" w:line="238"/>
            </w:pPr>
            <w:r>
              <w:rPr>
                <w:rFonts w:ascii="Calibri" w:cs="Calibri" w:eastAsia="Calibri" w:hAnsi="Calibri"/>
                <w:color w:val="3D3D3D"/>
                <w:sz w:val="18"/>
                <w:szCs w:val="18"/>
              </w:rPr>
              <w:t xml:space="preserve">Contributed to a prototype for modernizing a legacy product into a lighter, integrated AI-first platform with a shared data foundation.</w:t>
            </w:r>
          </w:p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color w:val="6E6E6E"/>
                <w:sz w:val="17"/>
                <w:szCs w:val="17"/>
              </w:rPr>
              <w:t xml:space="preserve">Product move: </w:t>
            </w:r>
            <w:r>
              <w:rPr>
                <w:rFonts w:ascii="Calibri" w:cs="Calibri" w:eastAsia="Calibri" w:hAnsi="Calibri"/>
                <w:i/>
                <w:iCs/>
                <w:color w:val="6E6E6E"/>
                <w:sz w:val="17"/>
                <w:szCs w:val="17"/>
              </w:rPr>
              <w:t xml:space="preserve">Canonical model, semantic layer, common database, and integrated product architecture.</w:t>
            </w:r>
          </w:p>
        </w:tc>
        <w:tc>
          <w:tcPr>
            <w:tcW w:type="dxa" w:w="5017"/>
            <w:tcBorders>
              <w:top w:val="none" w:color="FFFFFF" w:sz="2"/>
              <w:left w:val="none" w:color="FFFFFF" w:sz="2"/>
              <w:bottom w:val="none" w:color="FFFFFF" w:sz="2"/>
              <w:right w:val="none" w:color="FFFFFF" w:sz="2"/>
            </w:tcBorders>
            <w:tcMar>
              <w:top w:type="dxa" w:w="120"/>
              <w:left w:type="dxa" w:w="260"/>
              <w:bottom w:type="dxa" w:w="120"/>
              <w:right w:type="dxa" w:w="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F4A44"/>
                <w:spacing w:val="16"/>
                <w:sz w:val="15"/>
                <w:szCs w:val="15"/>
              </w:rPr>
              <w:t xml:space="preserve">GLOBAL EXPANSION</w:t>
            </w:r>
          </w:p>
          <w:p>
            <w:pPr>
              <w:spacing w:after="45"/>
            </w:pPr>
            <w:r>
              <w:rPr>
                <w:rFonts w:ascii="Calibri" w:cs="Calibri" w:eastAsia="Calibri" w:hAnsi="Calibri"/>
                <w:b/>
                <w:bCs/>
                <w:color w:val="1C1C1C"/>
                <w:sz w:val="20"/>
                <w:szCs w:val="20"/>
              </w:rPr>
              <w:t xml:space="preserve">Localization &amp; Internationalization</w:t>
            </w:r>
          </w:p>
          <w:p>
            <w:pPr>
              <w:spacing w:after="55" w:line="238"/>
            </w:pPr>
            <w:r>
              <w:rPr>
                <w:rFonts w:ascii="Calibri" w:cs="Calibri" w:eastAsia="Calibri" w:hAnsi="Calibri"/>
                <w:color w:val="3D3D3D"/>
                <w:sz w:val="18"/>
                <w:szCs w:val="18"/>
              </w:rPr>
              <w:t xml:space="preserve">Led product work to support multilingual experiences, regional formats, and translation workflows across a large enterprise application.</w:t>
            </w:r>
          </w:p>
          <w:p>
            <w:pPr>
              <w:spacing w:after="0" w:line="228"/>
            </w:pPr>
            <w:r>
              <w:rPr>
                <w:rFonts w:ascii="Calibri" w:cs="Calibri" w:eastAsia="Calibri" w:hAnsi="Calibri"/>
                <w:b/>
                <w:bCs/>
                <w:color w:val="6E6E6E"/>
                <w:sz w:val="17"/>
                <w:szCs w:val="17"/>
              </w:rPr>
              <w:t xml:space="preserve">Product move: </w:t>
            </w:r>
            <w:r>
              <w:rPr>
                <w:rFonts w:ascii="Calibri" w:cs="Calibri" w:eastAsia="Calibri" w:hAnsi="Calibri"/>
                <w:i/>
                <w:iCs/>
                <w:color w:val="6E6E6E"/>
                <w:sz w:val="17"/>
                <w:szCs w:val="17"/>
              </w:rPr>
              <w:t xml:space="preserve">Localization, internationalization, professional translation, machine translation, and cross-team delivery.</w:t>
            </w:r>
          </w:p>
        </w:tc>
      </w:tr>
    </w:tbl>
    <w:p>
      <w:pPr>
        <w:pBdr>
          <w:bottom w:val="single" w:color="D8D8D8" w:sz="4" w:space="4"/>
        </w:pBdr>
        <w:spacing w:after="85" w:before="210"/>
      </w:pPr>
      <w:r>
        <w:rPr>
          <w:rFonts w:ascii="Calibri" w:cs="Calibri" w:eastAsia="Calibri" w:hAnsi="Calibri"/>
          <w:b/>
          <w:bCs/>
          <w:color w:val="1F4A44"/>
          <w:spacing w:val="22"/>
          <w:sz w:val="19"/>
          <w:szCs w:val="19"/>
        </w:rPr>
        <w:t xml:space="preserve">EXPERIENCE</w:t>
      </w:r>
    </w:p>
    <w:p>
      <w:pPr>
        <w:tabs>
          <w:tab w:val="right" w:pos="9026"/>
        </w:tabs>
        <w:spacing w:after="30" w:before="150"/>
      </w:pPr>
      <w:r>
        <w:rPr>
          <w:rFonts w:ascii="Calibri" w:cs="Calibri" w:eastAsia="Calibri" w:hAnsi="Calibri"/>
          <w:b/>
          <w:bCs/>
          <w:color w:val="1C1C1C"/>
          <w:sz w:val="21"/>
          <w:szCs w:val="21"/>
        </w:rPr>
        <w:t xml:space="preserve">Associate Product Manager</w:t>
      </w:r>
      <w:r>
        <w:rPr>
          <w:rFonts w:ascii="Calibri" w:cs="Calibri" w:eastAsia="Calibri" w:hAnsi="Calibri"/>
          <w:color w:val="6E6E6E"/>
          <w:sz w:val="21"/>
          <w:szCs w:val="21"/>
        </w:rPr>
        <w:t xml:space="preserve">   ·   </w:t>
      </w:r>
      <w:r>
        <w:rPr>
          <w:rFonts w:ascii="Calibri" w:cs="Calibri" w:eastAsia="Calibri" w:hAnsi="Calibri"/>
          <w:i/>
          <w:iCs/>
          <w:color w:val="6E6E6E"/>
          <w:sz w:val="20"/>
          <w:szCs w:val="20"/>
        </w:rPr>
        <w:t xml:space="preserve">NAVEX</w:t>
      </w:r>
      <w:r>
        <w:rPr>
          <w:rFonts w:ascii="Calibri" w:cs="Calibri" w:eastAsia="Calibri" w:hAnsi="Calibri"/>
        </w:rPr>
        <w:t xml:space="preserve">	</w:t>
      </w:r>
      <w:r>
        <w:rPr>
          <w:rFonts w:ascii="Calibri" w:cs="Calibri" w:eastAsia="Calibri" w:hAnsi="Calibri"/>
          <w:color w:val="6E6E6E"/>
          <w:spacing w:val="6"/>
          <w:sz w:val="18"/>
          <w:szCs w:val="18"/>
        </w:rPr>
        <w:t xml:space="preserve">Jan 2026 – Present</w:t>
      </w:r>
    </w:p>
    <w:p>
      <w:pPr>
        <w:spacing w:after="46" w:line="246"/>
        <w:ind w:left="230" w:hanging="172"/>
      </w:pPr>
      <w:r>
        <w:rPr>
          <w:rFonts w:ascii="Calibri" w:cs="Calibri" w:eastAsia="Calibri" w:hAnsi="Calibri"/>
          <w:b/>
          <w:bCs/>
          <w:color w:val="1F4A44"/>
          <w:sz w:val="20"/>
          <w:szCs w:val="20"/>
        </w:rPr>
        <w:t xml:space="preserve">–  </w:t>
      </w:r>
      <w:r>
        <w:rPr>
          <w:rFonts w:ascii="Calibri" w:cs="Calibri" w:eastAsia="Calibri" w:hAnsi="Calibri"/>
          <w:color w:val="1C1C1C"/>
          <w:sz w:val="20"/>
          <w:szCs w:val="20"/>
        </w:rPr>
        <w:t xml:space="preserve">Own localization and internationalization capabilities for European, DACH, and Japanese markets across a large, multi-module enterprise product.</w:t>
      </w:r>
    </w:p>
    <w:p>
      <w:pPr>
        <w:spacing w:after="46" w:line="246"/>
        <w:ind w:left="230" w:hanging="172"/>
      </w:pPr>
      <w:r>
        <w:rPr>
          <w:rFonts w:ascii="Calibri" w:cs="Calibri" w:eastAsia="Calibri" w:hAnsi="Calibri"/>
          <w:b/>
          <w:bCs/>
          <w:color w:val="1F4A44"/>
          <w:sz w:val="20"/>
          <w:szCs w:val="20"/>
        </w:rPr>
        <w:t xml:space="preserve">–  </w:t>
      </w:r>
      <w:r>
        <w:rPr>
          <w:rFonts w:ascii="Calibri" w:cs="Calibri" w:eastAsia="Calibri" w:hAnsi="Calibri"/>
          <w:color w:val="1C1C1C"/>
          <w:sz w:val="20"/>
          <w:szCs w:val="20"/>
        </w:rPr>
        <w:t xml:space="preserve">Led product-wide translation, date, time, number, name, and regional-format localization with professional and machine translation workflows.</w:t>
      </w:r>
    </w:p>
    <w:p>
      <w:pPr>
        <w:spacing w:after="46" w:line="246"/>
        <w:ind w:left="230" w:hanging="172"/>
      </w:pPr>
      <w:r>
        <w:rPr>
          <w:rFonts w:ascii="Calibri" w:cs="Calibri" w:eastAsia="Calibri" w:hAnsi="Calibri"/>
          <w:b/>
          <w:bCs/>
          <w:color w:val="1F4A44"/>
          <w:sz w:val="20"/>
          <w:szCs w:val="20"/>
        </w:rPr>
        <w:t xml:space="preserve">–  </w:t>
      </w:r>
      <w:r>
        <w:rPr>
          <w:rFonts w:ascii="Calibri" w:cs="Calibri" w:eastAsia="Calibri" w:hAnsi="Calibri"/>
          <w:color w:val="1C1C1C"/>
          <w:sz w:val="20"/>
          <w:szCs w:val="20"/>
        </w:rPr>
        <w:t xml:space="preserve">Supported expansion into Japan and DACH, including enterprise customers such as Mitsubishi and Hitachi, contributing to $500K in incremental bookings.</w:t>
      </w:r>
    </w:p>
    <w:p>
      <w:pPr>
        <w:spacing w:after="46" w:line="246"/>
        <w:ind w:left="230" w:hanging="172"/>
      </w:pPr>
      <w:r>
        <w:rPr>
          <w:rFonts w:ascii="Calibri" w:cs="Calibri" w:eastAsia="Calibri" w:hAnsi="Calibri"/>
          <w:b/>
          <w:bCs/>
          <w:color w:val="1F4A44"/>
          <w:sz w:val="20"/>
          <w:szCs w:val="20"/>
        </w:rPr>
        <w:t xml:space="preserve">–  </w:t>
      </w:r>
      <w:r>
        <w:rPr>
          <w:rFonts w:ascii="Calibri" w:cs="Calibri" w:eastAsia="Calibri" w:hAnsi="Calibri"/>
          <w:color w:val="1C1C1C"/>
          <w:sz w:val="20"/>
          <w:szCs w:val="20"/>
        </w:rPr>
        <w:t xml:space="preserve">Shaped AI Case Insights to scan evidence, extract key facts, build timelines, and draft investigation reports for human review.</w:t>
      </w:r>
    </w:p>
    <w:p>
      <w:pPr>
        <w:spacing w:after="46" w:line="246"/>
        <w:ind w:left="230" w:hanging="172"/>
      </w:pPr>
      <w:r>
        <w:rPr>
          <w:rFonts w:ascii="Calibri" w:cs="Calibri" w:eastAsia="Calibri" w:hAnsi="Calibri"/>
          <w:b/>
          <w:bCs/>
          <w:color w:val="1F4A44"/>
          <w:sz w:val="20"/>
          <w:szCs w:val="20"/>
        </w:rPr>
        <w:t xml:space="preserve">–  </w:t>
      </w:r>
      <w:r>
        <w:rPr>
          <w:rFonts w:ascii="Calibri" w:cs="Calibri" w:eastAsia="Calibri" w:hAnsi="Calibri"/>
          <w:color w:val="1C1C1C"/>
          <w:sz w:val="20"/>
          <w:szCs w:val="20"/>
        </w:rPr>
        <w:t xml:space="preserve">Defined AI-first configurable intake workflows to reduce legacy onboarding from 3–5 weeks toward a 2–3 day setup experience.</w:t>
      </w:r>
    </w:p>
    <w:p>
      <w:pPr>
        <w:spacing w:after="46" w:line="246"/>
        <w:ind w:left="230" w:hanging="172"/>
      </w:pPr>
      <w:r>
        <w:rPr>
          <w:rFonts w:ascii="Calibri" w:cs="Calibri" w:eastAsia="Calibri" w:hAnsi="Calibri"/>
          <w:b/>
          <w:bCs/>
          <w:color w:val="1F4A44"/>
          <w:sz w:val="20"/>
          <w:szCs w:val="20"/>
        </w:rPr>
        <w:t xml:space="preserve">–  </w:t>
      </w:r>
      <w:r>
        <w:rPr>
          <w:rFonts w:ascii="Calibri" w:cs="Calibri" w:eastAsia="Calibri" w:hAnsi="Calibri"/>
          <w:color w:val="1C1C1C"/>
          <w:sz w:val="20"/>
          <w:szCs w:val="20"/>
        </w:rPr>
        <w:t xml:space="preserve">Contributed to a canonical model and semantic layer prototype for modernizing a 15-year-old legacy product into an integrated AI-first platform.</w:t>
      </w:r>
    </w:p>
    <w:p>
      <w:pPr>
        <w:spacing w:after="46" w:line="246"/>
        <w:ind w:left="230" w:hanging="172"/>
      </w:pPr>
      <w:r>
        <w:rPr>
          <w:rFonts w:ascii="Calibri" w:cs="Calibri" w:eastAsia="Calibri" w:hAnsi="Calibri"/>
          <w:b/>
          <w:bCs/>
          <w:color w:val="1F4A44"/>
          <w:sz w:val="20"/>
          <w:szCs w:val="20"/>
        </w:rPr>
        <w:t xml:space="preserve">–  </w:t>
      </w:r>
      <w:r>
        <w:rPr>
          <w:rFonts w:ascii="Calibri" w:cs="Calibri" w:eastAsia="Calibri" w:hAnsi="Calibri"/>
          <w:color w:val="1C1C1C"/>
          <w:sz w:val="20"/>
          <w:szCs w:val="20"/>
        </w:rPr>
        <w:t xml:space="preserve">Partner with Schneider Electric, Ross, BNP Paribas, and other enterprise customers on AI solutioning, adoption, and product feedback.</w:t>
      </w:r>
    </w:p>
    <w:p>
      <w:pPr>
        <w:tabs>
          <w:tab w:val="right" w:pos="9026"/>
        </w:tabs>
        <w:spacing w:after="30" w:before="150"/>
      </w:pPr>
      <w:r>
        <w:rPr>
          <w:rFonts w:ascii="Calibri" w:cs="Calibri" w:eastAsia="Calibri" w:hAnsi="Calibri"/>
          <w:b/>
          <w:bCs/>
          <w:color w:val="1C1C1C"/>
          <w:sz w:val="21"/>
          <w:szCs w:val="21"/>
        </w:rPr>
        <w:t xml:space="preserve">Senior Product Owner</w:t>
      </w:r>
      <w:r>
        <w:rPr>
          <w:rFonts w:ascii="Calibri" w:cs="Calibri" w:eastAsia="Calibri" w:hAnsi="Calibri"/>
          <w:color w:val="6E6E6E"/>
          <w:sz w:val="21"/>
          <w:szCs w:val="21"/>
        </w:rPr>
        <w:t xml:space="preserve">   ·   </w:t>
      </w:r>
      <w:r>
        <w:rPr>
          <w:rFonts w:ascii="Calibri" w:cs="Calibri" w:eastAsia="Calibri" w:hAnsi="Calibri"/>
          <w:i/>
          <w:iCs/>
          <w:color w:val="6E6E6E"/>
          <w:sz w:val="20"/>
          <w:szCs w:val="20"/>
        </w:rPr>
        <w:t xml:space="preserve">GlobalLogic for NAVEX</w:t>
      </w:r>
      <w:r>
        <w:rPr>
          <w:rFonts w:ascii="Calibri" w:cs="Calibri" w:eastAsia="Calibri" w:hAnsi="Calibri"/>
        </w:rPr>
        <w:t xml:space="preserve">	</w:t>
      </w:r>
      <w:r>
        <w:rPr>
          <w:rFonts w:ascii="Calibri" w:cs="Calibri" w:eastAsia="Calibri" w:hAnsi="Calibri"/>
          <w:color w:val="6E6E6E"/>
          <w:spacing w:val="6"/>
          <w:sz w:val="18"/>
          <w:szCs w:val="18"/>
        </w:rPr>
        <w:t xml:space="preserve">Apr 2024 – Dec 2025</w:t>
      </w:r>
    </w:p>
    <w:p>
      <w:pPr>
        <w:tabs>
          <w:tab w:val="right" w:pos="9026"/>
        </w:tabs>
        <w:spacing w:after="30" w:before="16"/>
      </w:pPr>
      <w:r>
        <w:rPr>
          <w:rFonts w:ascii="Calibri" w:cs="Calibri" w:eastAsia="Calibri" w:hAnsi="Calibri"/>
          <w:b/>
          <w:bCs/>
          <w:color w:val="1C1C1C"/>
          <w:sz w:val="21"/>
          <w:szCs w:val="21"/>
        </w:rPr>
        <w:t xml:space="preserve">Product Owner</w:t>
      </w:r>
      <w:r>
        <w:rPr>
          <w:rFonts w:ascii="Calibri" w:cs="Calibri" w:eastAsia="Calibri" w:hAnsi="Calibri"/>
          <w:color w:val="6E6E6E"/>
          <w:sz w:val="21"/>
          <w:szCs w:val="21"/>
        </w:rPr>
        <w:t xml:space="preserve">   ·   </w:t>
      </w:r>
      <w:r>
        <w:rPr>
          <w:rFonts w:ascii="Calibri" w:cs="Calibri" w:eastAsia="Calibri" w:hAnsi="Calibri"/>
          <w:i/>
          <w:iCs/>
          <w:color w:val="6E6E6E"/>
          <w:sz w:val="20"/>
          <w:szCs w:val="20"/>
        </w:rPr>
        <w:t xml:space="preserve">NAVEX</w:t>
      </w:r>
      <w:r>
        <w:rPr>
          <w:rFonts w:ascii="Calibri" w:cs="Calibri" w:eastAsia="Calibri" w:hAnsi="Calibri"/>
        </w:rPr>
        <w:t xml:space="preserve">	</w:t>
      </w:r>
      <w:r>
        <w:rPr>
          <w:rFonts w:ascii="Calibri" w:cs="Calibri" w:eastAsia="Calibri" w:hAnsi="Calibri"/>
          <w:color w:val="6E6E6E"/>
          <w:spacing w:val="6"/>
          <w:sz w:val="18"/>
          <w:szCs w:val="18"/>
        </w:rPr>
        <w:t xml:space="preserve">Nov 2022 – Apr 2024</w:t>
      </w:r>
    </w:p>
    <w:p>
      <w:pPr>
        <w:spacing w:after="46" w:line="246"/>
        <w:ind w:left="230" w:hanging="172"/>
      </w:pPr>
      <w:r>
        <w:rPr>
          <w:rFonts w:ascii="Calibri" w:cs="Calibri" w:eastAsia="Calibri" w:hAnsi="Calibri"/>
          <w:b/>
          <w:bCs/>
          <w:color w:val="1F4A44"/>
          <w:sz w:val="20"/>
          <w:szCs w:val="20"/>
        </w:rPr>
        <w:t xml:space="preserve">–  </w:t>
      </w:r>
      <w:r>
        <w:rPr>
          <w:rFonts w:ascii="Calibri" w:cs="Calibri" w:eastAsia="Calibri" w:hAnsi="Calibri"/>
          <w:color w:val="1C1C1C"/>
          <w:sz w:val="20"/>
          <w:szCs w:val="20"/>
        </w:rPr>
        <w:t xml:space="preserve">Managed roadmap execution for EthicsPoint and case management modules across enterprise compliance workflows.</w:t>
      </w:r>
    </w:p>
    <w:p>
      <w:pPr>
        <w:spacing w:after="46" w:line="246"/>
        <w:ind w:left="230" w:hanging="172"/>
      </w:pPr>
      <w:r>
        <w:rPr>
          <w:rFonts w:ascii="Calibri" w:cs="Calibri" w:eastAsia="Calibri" w:hAnsi="Calibri"/>
          <w:b/>
          <w:bCs/>
          <w:color w:val="1F4A44"/>
          <w:sz w:val="20"/>
          <w:szCs w:val="20"/>
        </w:rPr>
        <w:t xml:space="preserve">–  </w:t>
      </w:r>
      <w:r>
        <w:rPr>
          <w:rFonts w:ascii="Calibri" w:cs="Calibri" w:eastAsia="Calibri" w:hAnsi="Calibri"/>
          <w:color w:val="1C1C1C"/>
          <w:sz w:val="20"/>
          <w:szCs w:val="20"/>
        </w:rPr>
        <w:t xml:space="preserve">Defined product requirements, user stories, acceptance criteria, wireframes, and process flows for cross-functional teams.</w:t>
      </w:r>
    </w:p>
    <w:p>
      <w:pPr>
        <w:spacing w:after="46" w:line="246"/>
        <w:ind w:left="230" w:hanging="172"/>
      </w:pPr>
      <w:r>
        <w:rPr>
          <w:rFonts w:ascii="Calibri" w:cs="Calibri" w:eastAsia="Calibri" w:hAnsi="Calibri"/>
          <w:b/>
          <w:bCs/>
          <w:color w:val="1F4A44"/>
          <w:sz w:val="20"/>
          <w:szCs w:val="20"/>
        </w:rPr>
        <w:t xml:space="preserve">–  </w:t>
      </w:r>
      <w:r>
        <w:rPr>
          <w:rFonts w:ascii="Calibri" w:cs="Calibri" w:eastAsia="Calibri" w:hAnsi="Calibri"/>
          <w:color w:val="1C1C1C"/>
          <w:sz w:val="20"/>
          <w:szCs w:val="20"/>
        </w:rPr>
        <w:t xml:space="preserve">Conducted stakeholder demos, feedback sessions, and post-release reviews to improve usability and responsiveness.</w:t>
      </w:r>
    </w:p>
    <w:p>
      <w:pPr>
        <w:spacing w:after="46" w:line="246"/>
        <w:ind w:left="230" w:hanging="172"/>
      </w:pPr>
      <w:r>
        <w:rPr>
          <w:rFonts w:ascii="Calibri" w:cs="Calibri" w:eastAsia="Calibri" w:hAnsi="Calibri"/>
          <w:b/>
          <w:bCs/>
          <w:color w:val="1F4A44"/>
          <w:sz w:val="20"/>
          <w:szCs w:val="20"/>
        </w:rPr>
        <w:t xml:space="preserve">–  </w:t>
      </w:r>
      <w:r>
        <w:rPr>
          <w:rFonts w:ascii="Calibri" w:cs="Calibri" w:eastAsia="Calibri" w:hAnsi="Calibri"/>
          <w:color w:val="1C1C1C"/>
          <w:sz w:val="20"/>
          <w:szCs w:val="20"/>
        </w:rPr>
        <w:t xml:space="preserve">Led Agile execution across grooming, sprint planning, standups, reviews, and retrospectives to support timely delivery.</w:t>
      </w:r>
    </w:p>
    <w:p>
      <w:pPr>
        <w:spacing w:after="46" w:line="246"/>
        <w:ind w:left="230" w:hanging="172"/>
      </w:pPr>
      <w:r>
        <w:rPr>
          <w:rFonts w:ascii="Calibri" w:cs="Calibri" w:eastAsia="Calibri" w:hAnsi="Calibri"/>
          <w:b/>
          <w:bCs/>
          <w:color w:val="1F4A44"/>
          <w:sz w:val="20"/>
          <w:szCs w:val="20"/>
        </w:rPr>
        <w:t xml:space="preserve">–  </w:t>
      </w:r>
      <w:r>
        <w:rPr>
          <w:rFonts w:ascii="Calibri" w:cs="Calibri" w:eastAsia="Calibri" w:hAnsi="Calibri"/>
          <w:color w:val="1C1C1C"/>
          <w:sz w:val="20"/>
          <w:szCs w:val="20"/>
        </w:rPr>
        <w:t xml:space="preserve">Translated customer and business needs into scalable product improvements across GRC product areas.</w:t>
      </w:r>
    </w:p>
    <w:p>
      <w:pPr>
        <w:spacing w:after="46" w:line="246"/>
        <w:ind w:left="230" w:hanging="172"/>
      </w:pPr>
      <w:r>
        <w:rPr>
          <w:rFonts w:ascii="Calibri" w:cs="Calibri" w:eastAsia="Calibri" w:hAnsi="Calibri"/>
          <w:b/>
          <w:bCs/>
          <w:color w:val="1F4A44"/>
          <w:sz w:val="20"/>
          <w:szCs w:val="20"/>
        </w:rPr>
        <w:t xml:space="preserve">–  </w:t>
      </w:r>
      <w:r>
        <w:rPr>
          <w:rFonts w:ascii="Calibri" w:cs="Calibri" w:eastAsia="Calibri" w:hAnsi="Calibri"/>
          <w:color w:val="1C1C1C"/>
          <w:sz w:val="20"/>
          <w:szCs w:val="20"/>
        </w:rPr>
        <w:t xml:space="preserve">Supported core EthicsPoint product areas while partnering with NAVEX stakeholders across requirements, delivery, and adoption.</w:t>
      </w:r>
    </w:p>
    <w:p>
      <w:pPr>
        <w:tabs>
          <w:tab w:val="right" w:pos="9026"/>
        </w:tabs>
        <w:spacing w:after="30" w:before="150"/>
      </w:pPr>
      <w:r>
        <w:rPr>
          <w:rFonts w:ascii="Calibri" w:cs="Calibri" w:eastAsia="Calibri" w:hAnsi="Calibri"/>
          <w:b/>
          <w:bCs/>
          <w:color w:val="1C1C1C"/>
          <w:sz w:val="21"/>
          <w:szCs w:val="21"/>
        </w:rPr>
        <w:t xml:space="preserve">Product Owner</w:t>
      </w:r>
      <w:r>
        <w:rPr>
          <w:rFonts w:ascii="Calibri" w:cs="Calibri" w:eastAsia="Calibri" w:hAnsi="Calibri"/>
          <w:color w:val="6E6E6E"/>
          <w:sz w:val="21"/>
          <w:szCs w:val="21"/>
        </w:rPr>
        <w:t xml:space="preserve">   ·   </w:t>
      </w:r>
      <w:r>
        <w:rPr>
          <w:rFonts w:ascii="Calibri" w:cs="Calibri" w:eastAsia="Calibri" w:hAnsi="Calibri"/>
          <w:i/>
          <w:iCs/>
          <w:color w:val="6E6E6E"/>
          <w:sz w:val="20"/>
          <w:szCs w:val="20"/>
        </w:rPr>
        <w:t xml:space="preserve">Adobe, Contract</w:t>
      </w:r>
      <w:r>
        <w:rPr>
          <w:rFonts w:ascii="Calibri" w:cs="Calibri" w:eastAsia="Calibri" w:hAnsi="Calibri"/>
        </w:rPr>
        <w:t xml:space="preserve">	</w:t>
      </w:r>
      <w:r>
        <w:rPr>
          <w:rFonts w:ascii="Calibri" w:cs="Calibri" w:eastAsia="Calibri" w:hAnsi="Calibri"/>
          <w:color w:val="6E6E6E"/>
          <w:spacing w:val="6"/>
          <w:sz w:val="18"/>
          <w:szCs w:val="18"/>
        </w:rPr>
        <w:t xml:space="preserve">Feb 2022 – Nov 2022</w:t>
      </w:r>
    </w:p>
    <w:p>
      <w:pPr>
        <w:spacing w:after="46" w:line="246"/>
        <w:ind w:left="230" w:hanging="172"/>
      </w:pPr>
      <w:r>
        <w:rPr>
          <w:rFonts w:ascii="Calibri" w:cs="Calibri" w:eastAsia="Calibri" w:hAnsi="Calibri"/>
          <w:b/>
          <w:bCs/>
          <w:color w:val="1F4A44"/>
          <w:sz w:val="20"/>
          <w:szCs w:val="20"/>
        </w:rPr>
        <w:t xml:space="preserve">–  </w:t>
      </w:r>
      <w:r>
        <w:rPr>
          <w:rFonts w:ascii="Calibri" w:cs="Calibri" w:eastAsia="Calibri" w:hAnsi="Calibri"/>
          <w:color w:val="1C1C1C"/>
          <w:sz w:val="20"/>
          <w:szCs w:val="20"/>
        </w:rPr>
        <w:t xml:space="preserve">Managed a marketing communication tool responsible for Adobe SMS campaign workflows.</w:t>
      </w:r>
    </w:p>
    <w:p>
      <w:pPr>
        <w:spacing w:after="46" w:line="246"/>
        <w:ind w:left="230" w:hanging="172"/>
      </w:pPr>
      <w:r>
        <w:rPr>
          <w:rFonts w:ascii="Calibri" w:cs="Calibri" w:eastAsia="Calibri" w:hAnsi="Calibri"/>
          <w:b/>
          <w:bCs/>
          <w:color w:val="1F4A44"/>
          <w:sz w:val="20"/>
          <w:szCs w:val="20"/>
        </w:rPr>
        <w:t xml:space="preserve">–  </w:t>
      </w:r>
      <w:r>
        <w:rPr>
          <w:rFonts w:ascii="Calibri" w:cs="Calibri" w:eastAsia="Calibri" w:hAnsi="Calibri"/>
          <w:color w:val="1C1C1C"/>
          <w:sz w:val="20"/>
          <w:szCs w:val="20"/>
        </w:rPr>
        <w:t xml:space="preserve">Oversaw product transition and backlog management for SaaS products.</w:t>
      </w:r>
    </w:p>
    <w:p>
      <w:pPr>
        <w:spacing w:after="46" w:line="246"/>
        <w:ind w:left="230" w:hanging="172"/>
      </w:pPr>
      <w:r>
        <w:rPr>
          <w:rFonts w:ascii="Calibri" w:cs="Calibri" w:eastAsia="Calibri" w:hAnsi="Calibri"/>
          <w:b/>
          <w:bCs/>
          <w:color w:val="1F4A44"/>
          <w:sz w:val="20"/>
          <w:szCs w:val="20"/>
        </w:rPr>
        <w:t xml:space="preserve">–  </w:t>
      </w:r>
      <w:r>
        <w:rPr>
          <w:rFonts w:ascii="Calibri" w:cs="Calibri" w:eastAsia="Calibri" w:hAnsi="Calibri"/>
          <w:color w:val="1C1C1C"/>
          <w:sz w:val="20"/>
          <w:szCs w:val="20"/>
        </w:rPr>
        <w:t xml:space="preserve">Created user stories, wireframes, and MVP initiatives to optimize cost and delivery.</w:t>
      </w:r>
    </w:p>
    <w:p>
      <w:pPr>
        <w:spacing w:after="46" w:line="246"/>
        <w:ind w:left="230" w:hanging="172"/>
      </w:pPr>
      <w:r>
        <w:rPr>
          <w:rFonts w:ascii="Calibri" w:cs="Calibri" w:eastAsia="Calibri" w:hAnsi="Calibri"/>
          <w:b/>
          <w:bCs/>
          <w:color w:val="1F4A44"/>
          <w:sz w:val="20"/>
          <w:szCs w:val="20"/>
        </w:rPr>
        <w:t xml:space="preserve">–  </w:t>
      </w:r>
      <w:r>
        <w:rPr>
          <w:rFonts w:ascii="Calibri" w:cs="Calibri" w:eastAsia="Calibri" w:hAnsi="Calibri"/>
          <w:color w:val="1C1C1C"/>
          <w:sz w:val="20"/>
          <w:szCs w:val="20"/>
        </w:rPr>
        <w:t xml:space="preserve">Supported customer onboarding, product adoption, and system monitoring using Splunk.</w:t>
      </w:r>
    </w:p>
    <w:p>
      <w:pPr>
        <w:tabs>
          <w:tab w:val="right" w:pos="9026"/>
        </w:tabs>
        <w:spacing w:after="30" w:before="150"/>
      </w:pPr>
      <w:r>
        <w:rPr>
          <w:rFonts w:ascii="Calibri" w:cs="Calibri" w:eastAsia="Calibri" w:hAnsi="Calibri"/>
          <w:b/>
          <w:bCs/>
          <w:color w:val="1C1C1C"/>
          <w:sz w:val="21"/>
          <w:szCs w:val="21"/>
        </w:rPr>
        <w:t xml:space="preserve">Technical Project Manager</w:t>
      </w:r>
      <w:r>
        <w:rPr>
          <w:rFonts w:ascii="Calibri" w:cs="Calibri" w:eastAsia="Calibri" w:hAnsi="Calibri"/>
          <w:color w:val="6E6E6E"/>
          <w:sz w:val="21"/>
          <w:szCs w:val="21"/>
        </w:rPr>
        <w:t xml:space="preserve">   ·   </w:t>
      </w:r>
      <w:r>
        <w:rPr>
          <w:rFonts w:ascii="Calibri" w:cs="Calibri" w:eastAsia="Calibri" w:hAnsi="Calibri"/>
          <w:i/>
          <w:iCs/>
          <w:color w:val="6E6E6E"/>
          <w:sz w:val="20"/>
          <w:szCs w:val="20"/>
        </w:rPr>
        <w:t xml:space="preserve">Plate IQ</w:t>
      </w:r>
      <w:r>
        <w:rPr>
          <w:rFonts w:ascii="Calibri" w:cs="Calibri" w:eastAsia="Calibri" w:hAnsi="Calibri"/>
        </w:rPr>
        <w:t xml:space="preserve">	</w:t>
      </w:r>
      <w:r>
        <w:rPr>
          <w:rFonts w:ascii="Calibri" w:cs="Calibri" w:eastAsia="Calibri" w:hAnsi="Calibri"/>
          <w:color w:val="6E6E6E"/>
          <w:spacing w:val="6"/>
          <w:sz w:val="18"/>
          <w:szCs w:val="18"/>
        </w:rPr>
        <w:t xml:space="preserve">Aug 2020 – Feb 2022</w:t>
      </w:r>
    </w:p>
    <w:p>
      <w:pPr>
        <w:spacing w:after="46" w:line="246"/>
        <w:ind w:left="230" w:hanging="172"/>
      </w:pPr>
      <w:r>
        <w:rPr>
          <w:rFonts w:ascii="Calibri" w:cs="Calibri" w:eastAsia="Calibri" w:hAnsi="Calibri"/>
          <w:b/>
          <w:bCs/>
          <w:color w:val="1F4A44"/>
          <w:sz w:val="20"/>
          <w:szCs w:val="20"/>
        </w:rPr>
        <w:t xml:space="preserve">–  </w:t>
      </w:r>
      <w:r>
        <w:rPr>
          <w:rFonts w:ascii="Calibri" w:cs="Calibri" w:eastAsia="Calibri" w:hAnsi="Calibri"/>
          <w:color w:val="1C1C1C"/>
          <w:sz w:val="20"/>
          <w:szCs w:val="20"/>
        </w:rPr>
        <w:t xml:space="preserve">Managed an accounts payable product supporting finance and operational workflows.</w:t>
      </w:r>
    </w:p>
    <w:p>
      <w:pPr>
        <w:spacing w:after="46" w:line="246"/>
        <w:ind w:left="230" w:hanging="172"/>
      </w:pPr>
      <w:r>
        <w:rPr>
          <w:rFonts w:ascii="Calibri" w:cs="Calibri" w:eastAsia="Calibri" w:hAnsi="Calibri"/>
          <w:b/>
          <w:bCs/>
          <w:color w:val="1F4A44"/>
          <w:sz w:val="20"/>
          <w:szCs w:val="20"/>
        </w:rPr>
        <w:t xml:space="preserve">–  </w:t>
      </w:r>
      <w:r>
        <w:rPr>
          <w:rFonts w:ascii="Calibri" w:cs="Calibri" w:eastAsia="Calibri" w:hAnsi="Calibri"/>
          <w:color w:val="1C1C1C"/>
          <w:sz w:val="20"/>
          <w:szCs w:val="20"/>
        </w:rPr>
        <w:t xml:space="preserve">Led Scrum adoption and sprint execution across globally distributed engineering teams.</w:t>
      </w:r>
    </w:p>
    <w:p>
      <w:pPr>
        <w:spacing w:after="46" w:line="246"/>
        <w:ind w:left="230" w:hanging="172"/>
      </w:pPr>
      <w:r>
        <w:rPr>
          <w:rFonts w:ascii="Calibri" w:cs="Calibri" w:eastAsia="Calibri" w:hAnsi="Calibri"/>
          <w:b/>
          <w:bCs/>
          <w:color w:val="1F4A44"/>
          <w:sz w:val="20"/>
          <w:szCs w:val="20"/>
        </w:rPr>
        <w:t xml:space="preserve">–  </w:t>
      </w:r>
      <w:r>
        <w:rPr>
          <w:rFonts w:ascii="Calibri" w:cs="Calibri" w:eastAsia="Calibri" w:hAnsi="Calibri"/>
          <w:color w:val="1C1C1C"/>
          <w:sz w:val="20"/>
          <w:szCs w:val="20"/>
        </w:rPr>
        <w:t xml:space="preserve">Coordinated backlog prioritization and release planning aligned with product vision and roadmap.</w:t>
      </w:r>
    </w:p>
    <w:p>
      <w:pPr>
        <w:spacing w:after="46" w:line="246"/>
        <w:ind w:left="230" w:hanging="172"/>
      </w:pPr>
      <w:r>
        <w:rPr>
          <w:rFonts w:ascii="Calibri" w:cs="Calibri" w:eastAsia="Calibri" w:hAnsi="Calibri"/>
          <w:b/>
          <w:bCs/>
          <w:color w:val="1F4A44"/>
          <w:sz w:val="20"/>
          <w:szCs w:val="20"/>
        </w:rPr>
        <w:t xml:space="preserve">–  </w:t>
      </w:r>
      <w:r>
        <w:rPr>
          <w:rFonts w:ascii="Calibri" w:cs="Calibri" w:eastAsia="Calibri" w:hAnsi="Calibri"/>
          <w:color w:val="1C1C1C"/>
          <w:sz w:val="20"/>
          <w:szCs w:val="20"/>
        </w:rPr>
        <w:t xml:space="preserve">Built UX flows and supported delivery planning for product initiatives.</w:t>
      </w:r>
    </w:p>
    <w:p>
      <w:pPr>
        <w:tabs>
          <w:tab w:val="right" w:pos="9026"/>
        </w:tabs>
        <w:spacing w:after="30" w:before="150"/>
      </w:pPr>
      <w:r>
        <w:rPr>
          <w:rFonts w:ascii="Calibri" w:cs="Calibri" w:eastAsia="Calibri" w:hAnsi="Calibri"/>
          <w:b/>
          <w:bCs/>
          <w:color w:val="1C1C1C"/>
          <w:sz w:val="21"/>
          <w:szCs w:val="21"/>
        </w:rPr>
        <w:t xml:space="preserve">Senior Market Manager</w:t>
      </w:r>
      <w:r>
        <w:rPr>
          <w:rFonts w:ascii="Calibri" w:cs="Calibri" w:eastAsia="Calibri" w:hAnsi="Calibri"/>
          <w:color w:val="6E6E6E"/>
          <w:sz w:val="21"/>
          <w:szCs w:val="21"/>
        </w:rPr>
        <w:t xml:space="preserve">   ·   </w:t>
      </w:r>
      <w:r>
        <w:rPr>
          <w:rFonts w:ascii="Calibri" w:cs="Calibri" w:eastAsia="Calibri" w:hAnsi="Calibri"/>
          <w:i/>
          <w:iCs/>
          <w:color w:val="6E6E6E"/>
          <w:sz w:val="20"/>
          <w:szCs w:val="20"/>
        </w:rPr>
        <w:t xml:space="preserve">GlowRoad</w:t>
      </w:r>
      <w:r>
        <w:rPr>
          <w:rFonts w:ascii="Calibri" w:cs="Calibri" w:eastAsia="Calibri" w:hAnsi="Calibri"/>
        </w:rPr>
        <w:t xml:space="preserve">	</w:t>
      </w:r>
      <w:r>
        <w:rPr>
          <w:rFonts w:ascii="Calibri" w:cs="Calibri" w:eastAsia="Calibri" w:hAnsi="Calibri"/>
          <w:color w:val="6E6E6E"/>
          <w:spacing w:val="6"/>
          <w:sz w:val="18"/>
          <w:szCs w:val="18"/>
        </w:rPr>
        <w:t xml:space="preserve">Jul 2019 – May 2020</w:t>
      </w:r>
    </w:p>
    <w:p>
      <w:pPr>
        <w:spacing w:after="46" w:line="246"/>
        <w:ind w:left="230" w:hanging="172"/>
      </w:pPr>
      <w:r>
        <w:rPr>
          <w:rFonts w:ascii="Calibri" w:cs="Calibri" w:eastAsia="Calibri" w:hAnsi="Calibri"/>
          <w:b/>
          <w:bCs/>
          <w:color w:val="1F4A44"/>
          <w:sz w:val="20"/>
          <w:szCs w:val="20"/>
        </w:rPr>
        <w:t xml:space="preserve">–  </w:t>
      </w:r>
      <w:r>
        <w:rPr>
          <w:rFonts w:ascii="Calibri" w:cs="Calibri" w:eastAsia="Calibri" w:hAnsi="Calibri"/>
          <w:color w:val="1C1C1C"/>
          <w:sz w:val="20"/>
          <w:szCs w:val="20"/>
        </w:rPr>
        <w:t xml:space="preserve">Owned end-to-end digital marketing with a monthly budget of over INR 3 crore.</w:t>
      </w:r>
    </w:p>
    <w:p>
      <w:pPr>
        <w:spacing w:after="46" w:line="246"/>
        <w:ind w:left="230" w:hanging="172"/>
      </w:pPr>
      <w:r>
        <w:rPr>
          <w:rFonts w:ascii="Calibri" w:cs="Calibri" w:eastAsia="Calibri" w:hAnsi="Calibri"/>
          <w:b/>
          <w:bCs/>
          <w:color w:val="1F4A44"/>
          <w:sz w:val="20"/>
          <w:szCs w:val="20"/>
        </w:rPr>
        <w:t xml:space="preserve">–  </w:t>
      </w:r>
      <w:r>
        <w:rPr>
          <w:rFonts w:ascii="Calibri" w:cs="Calibri" w:eastAsia="Calibri" w:hAnsi="Calibri"/>
          <w:color w:val="1C1C1C"/>
          <w:sz w:val="20"/>
          <w:szCs w:val="20"/>
        </w:rPr>
        <w:t xml:space="preserve">Increased orders from 18K per day to 30K per day within 4–6 months.</w:t>
      </w:r>
    </w:p>
    <w:p>
      <w:pPr>
        <w:spacing w:after="46" w:line="246"/>
        <w:ind w:left="230" w:hanging="172"/>
      </w:pPr>
      <w:r>
        <w:rPr>
          <w:rFonts w:ascii="Calibri" w:cs="Calibri" w:eastAsia="Calibri" w:hAnsi="Calibri"/>
          <w:b/>
          <w:bCs/>
          <w:color w:val="1F4A44"/>
          <w:sz w:val="20"/>
          <w:szCs w:val="20"/>
        </w:rPr>
        <w:t xml:space="preserve">–  </w:t>
      </w:r>
      <w:r>
        <w:rPr>
          <w:rFonts w:ascii="Calibri" w:cs="Calibri" w:eastAsia="Calibri" w:hAnsi="Calibri"/>
          <w:color w:val="1C1C1C"/>
          <w:sz w:val="20"/>
          <w:szCs w:val="20"/>
        </w:rPr>
        <w:t xml:space="preserve">Served as part of the core team during the Series B fundraising period, reporting to the CEO.</w:t>
      </w:r>
    </w:p>
    <w:p>
      <w:pPr>
        <w:spacing w:after="46" w:line="246"/>
        <w:ind w:left="230" w:hanging="172"/>
      </w:pPr>
      <w:r>
        <w:rPr>
          <w:rFonts w:ascii="Calibri" w:cs="Calibri" w:eastAsia="Calibri" w:hAnsi="Calibri"/>
          <w:b/>
          <w:bCs/>
          <w:color w:val="1F4A44"/>
          <w:sz w:val="20"/>
          <w:szCs w:val="20"/>
        </w:rPr>
        <w:t xml:space="preserve">–  </w:t>
      </w:r>
      <w:r>
        <w:rPr>
          <w:rFonts w:ascii="Calibri" w:cs="Calibri" w:eastAsia="Calibri" w:hAnsi="Calibri"/>
          <w:color w:val="1C1C1C"/>
          <w:sz w:val="20"/>
          <w:szCs w:val="20"/>
        </w:rPr>
        <w:t xml:space="preserve">Organized user focus group studies and used insights to support user experience development.</w:t>
      </w:r>
    </w:p>
    <w:p>
      <w:pPr>
        <w:tabs>
          <w:tab w:val="right" w:pos="9026"/>
        </w:tabs>
        <w:spacing w:after="30" w:before="150"/>
      </w:pPr>
      <w:r>
        <w:rPr>
          <w:rFonts w:ascii="Calibri" w:cs="Calibri" w:eastAsia="Calibri" w:hAnsi="Calibri"/>
          <w:b/>
          <w:bCs/>
          <w:color w:val="1C1C1C"/>
          <w:sz w:val="21"/>
          <w:szCs w:val="21"/>
        </w:rPr>
        <w:t xml:space="preserve">Entrepreneur</w:t>
      </w:r>
      <w:r>
        <w:rPr>
          <w:rFonts w:ascii="Calibri" w:cs="Calibri" w:eastAsia="Calibri" w:hAnsi="Calibri"/>
          <w:color w:val="6E6E6E"/>
          <w:sz w:val="21"/>
          <w:szCs w:val="21"/>
        </w:rPr>
        <w:t xml:space="preserve">   ·   </w:t>
      </w:r>
      <w:r>
        <w:rPr>
          <w:rFonts w:ascii="Calibri" w:cs="Calibri" w:eastAsia="Calibri" w:hAnsi="Calibri"/>
          <w:i/>
          <w:iCs/>
          <w:color w:val="6E6E6E"/>
          <w:sz w:val="20"/>
          <w:szCs w:val="20"/>
        </w:rPr>
        <w:t xml:space="preserve">Independent ventures and growth hacking agency</w:t>
      </w:r>
      <w:r>
        <w:rPr>
          <w:rFonts w:ascii="Calibri" w:cs="Calibri" w:eastAsia="Calibri" w:hAnsi="Calibri"/>
        </w:rPr>
        <w:t xml:space="preserve">	</w:t>
      </w:r>
      <w:r>
        <w:rPr>
          <w:rFonts w:ascii="Calibri" w:cs="Calibri" w:eastAsia="Calibri" w:hAnsi="Calibri"/>
          <w:color w:val="6E6E6E"/>
          <w:spacing w:val="6"/>
          <w:sz w:val="18"/>
          <w:szCs w:val="18"/>
        </w:rPr>
        <w:t xml:space="preserve">Jul 2015 – Jun 2019</w:t>
      </w:r>
    </w:p>
    <w:p>
      <w:pPr>
        <w:spacing w:after="46" w:line="246"/>
        <w:ind w:left="230" w:hanging="172"/>
      </w:pPr>
      <w:r>
        <w:rPr>
          <w:rFonts w:ascii="Calibri" w:cs="Calibri" w:eastAsia="Calibri" w:hAnsi="Calibri"/>
          <w:b/>
          <w:bCs/>
          <w:color w:val="1F4A44"/>
          <w:sz w:val="20"/>
          <w:szCs w:val="20"/>
        </w:rPr>
        <w:t xml:space="preserve">–  </w:t>
      </w:r>
      <w:r>
        <w:rPr>
          <w:rFonts w:ascii="Calibri" w:cs="Calibri" w:eastAsia="Calibri" w:hAnsi="Calibri"/>
          <w:color w:val="1C1C1C"/>
          <w:sz w:val="20"/>
          <w:szCs w:val="20"/>
        </w:rPr>
        <w:t xml:space="preserve">Explored startup ideas across IT services, an app for pets, a startup magazine, and growth hacking solutions.</w:t>
      </w:r>
    </w:p>
    <w:p>
      <w:pPr>
        <w:spacing w:after="46" w:line="246"/>
        <w:ind w:left="230" w:hanging="172"/>
      </w:pPr>
      <w:r>
        <w:rPr>
          <w:rFonts w:ascii="Calibri" w:cs="Calibri" w:eastAsia="Calibri" w:hAnsi="Calibri"/>
          <w:b/>
          <w:bCs/>
          <w:color w:val="1F4A44"/>
          <w:sz w:val="20"/>
          <w:szCs w:val="20"/>
        </w:rPr>
        <w:t xml:space="preserve">–  </w:t>
      </w:r>
      <w:r>
        <w:rPr>
          <w:rFonts w:ascii="Calibri" w:cs="Calibri" w:eastAsia="Calibri" w:hAnsi="Calibri"/>
          <w:color w:val="1C1C1C"/>
          <w:sz w:val="20"/>
          <w:szCs w:val="20"/>
        </w:rPr>
        <w:t xml:space="preserve">Successfully ran a growth hacking agency for 3 years, serving clients across healthcare, education, restaurants, entertainment, real estate, and other domains.</w:t>
      </w:r>
    </w:p>
    <w:p>
      <w:pPr>
        <w:spacing w:after="46" w:line="246"/>
        <w:ind w:left="230" w:hanging="172"/>
      </w:pPr>
      <w:r>
        <w:rPr>
          <w:rFonts w:ascii="Calibri" w:cs="Calibri" w:eastAsia="Calibri" w:hAnsi="Calibri"/>
          <w:b/>
          <w:bCs/>
          <w:color w:val="1F4A44"/>
          <w:sz w:val="20"/>
          <w:szCs w:val="20"/>
        </w:rPr>
        <w:t xml:space="preserve">–  </w:t>
      </w:r>
      <w:r>
        <w:rPr>
          <w:rFonts w:ascii="Calibri" w:cs="Calibri" w:eastAsia="Calibri" w:hAnsi="Calibri"/>
          <w:color w:val="1C1C1C"/>
          <w:sz w:val="20"/>
          <w:szCs w:val="20"/>
        </w:rPr>
        <w:t xml:space="preserve">Worked with notable brands and businesses including Alliance University, Sobha Builders, pubs in Bangalore, CricTracker, and Remidio.</w:t>
      </w:r>
    </w:p>
    <w:p>
      <w:pPr>
        <w:spacing w:after="46" w:line="246"/>
        <w:ind w:left="230" w:hanging="172"/>
      </w:pPr>
      <w:r>
        <w:rPr>
          <w:rFonts w:ascii="Calibri" w:cs="Calibri" w:eastAsia="Calibri" w:hAnsi="Calibri"/>
          <w:b/>
          <w:bCs/>
          <w:color w:val="1F4A44"/>
          <w:sz w:val="20"/>
          <w:szCs w:val="20"/>
        </w:rPr>
        <w:t xml:space="preserve">–  </w:t>
      </w:r>
      <w:r>
        <w:rPr>
          <w:rFonts w:ascii="Calibri" w:cs="Calibri" w:eastAsia="Calibri" w:hAnsi="Calibri"/>
          <w:color w:val="1C1C1C"/>
          <w:sz w:val="20"/>
          <w:szCs w:val="20"/>
        </w:rPr>
        <w:t xml:space="preserve">Created BRDs, PRDs, campaign plans, and delivery workflows while training teams and improving execution predictability.</w:t>
      </w:r>
    </w:p>
    <w:p>
      <w:pPr>
        <w:tabs>
          <w:tab w:val="right" w:pos="9026"/>
        </w:tabs>
        <w:spacing w:after="30" w:before="150"/>
      </w:pPr>
      <w:r>
        <w:rPr>
          <w:rFonts w:ascii="Calibri" w:cs="Calibri" w:eastAsia="Calibri" w:hAnsi="Calibri"/>
          <w:b/>
          <w:bCs/>
          <w:color w:val="1C1C1C"/>
          <w:sz w:val="21"/>
          <w:szCs w:val="21"/>
        </w:rPr>
        <w:t xml:space="preserve">Business Analyst and Scrum Master</w:t>
      </w:r>
      <w:r>
        <w:rPr>
          <w:rFonts w:ascii="Calibri" w:cs="Calibri" w:eastAsia="Calibri" w:hAnsi="Calibri"/>
          <w:color w:val="6E6E6E"/>
          <w:sz w:val="21"/>
          <w:szCs w:val="21"/>
        </w:rPr>
        <w:t xml:space="preserve">   ·   </w:t>
      </w:r>
      <w:r>
        <w:rPr>
          <w:rFonts w:ascii="Calibri" w:cs="Calibri" w:eastAsia="Calibri" w:hAnsi="Calibri"/>
          <w:i/>
          <w:iCs/>
          <w:color w:val="6E6E6E"/>
          <w:sz w:val="20"/>
          <w:szCs w:val="20"/>
        </w:rPr>
        <w:t xml:space="preserve">Suyati Technologies</w:t>
      </w:r>
      <w:r>
        <w:rPr>
          <w:rFonts w:ascii="Calibri" w:cs="Calibri" w:eastAsia="Calibri" w:hAnsi="Calibri"/>
        </w:rPr>
        <w:t xml:space="preserve">	</w:t>
      </w:r>
      <w:r>
        <w:rPr>
          <w:rFonts w:ascii="Calibri" w:cs="Calibri" w:eastAsia="Calibri" w:hAnsi="Calibri"/>
          <w:color w:val="6E6E6E"/>
          <w:spacing w:val="6"/>
          <w:sz w:val="18"/>
          <w:szCs w:val="18"/>
        </w:rPr>
        <w:t xml:space="preserve">Jul 2013 – May 2015</w:t>
      </w:r>
    </w:p>
    <w:p>
      <w:pPr>
        <w:spacing w:after="46" w:line="246"/>
        <w:ind w:left="230" w:hanging="172"/>
      </w:pPr>
      <w:r>
        <w:rPr>
          <w:rFonts w:ascii="Calibri" w:cs="Calibri" w:eastAsia="Calibri" w:hAnsi="Calibri"/>
          <w:b/>
          <w:bCs/>
          <w:color w:val="1F4A44"/>
          <w:sz w:val="20"/>
          <w:szCs w:val="20"/>
        </w:rPr>
        <w:t xml:space="preserve">–  </w:t>
      </w:r>
      <w:r>
        <w:rPr>
          <w:rFonts w:ascii="Calibri" w:cs="Calibri" w:eastAsia="Calibri" w:hAnsi="Calibri"/>
          <w:color w:val="1C1C1C"/>
          <w:sz w:val="20"/>
          <w:szCs w:val="20"/>
        </w:rPr>
        <w:t xml:space="preserve">Supported business analysis, Agile ceremonies, requirement documentation, and stakeholder communication.</w:t>
      </w:r>
    </w:p>
    <w:p>
      <w:pPr>
        <w:pBdr>
          <w:bottom w:val="single" w:color="D8D8D8" w:sz="4" w:space="4"/>
        </w:pBdr>
        <w:spacing w:after="85" w:before="210"/>
      </w:pPr>
      <w:r>
        <w:rPr>
          <w:rFonts w:ascii="Calibri" w:cs="Calibri" w:eastAsia="Calibri" w:hAnsi="Calibri"/>
          <w:b/>
          <w:bCs/>
          <w:color w:val="1F4A44"/>
          <w:spacing w:val="22"/>
          <w:sz w:val="19"/>
          <w:szCs w:val="19"/>
        </w:rPr>
        <w:t xml:space="preserve">SELECTED STRENGTHS</w:t>
      </w:r>
    </w:p>
    <w:p>
      <w:pPr>
        <w:spacing w:after="46" w:line="246"/>
        <w:ind w:left="230" w:hanging="172"/>
      </w:pPr>
      <w:r>
        <w:rPr>
          <w:rFonts w:ascii="Calibri" w:cs="Calibri" w:eastAsia="Calibri" w:hAnsi="Calibri"/>
          <w:b/>
          <w:bCs/>
          <w:color w:val="1F4A44"/>
          <w:sz w:val="20"/>
          <w:szCs w:val="20"/>
        </w:rPr>
        <w:t xml:space="preserve">–  </w:t>
      </w:r>
      <w:r>
        <w:rPr>
          <w:rFonts w:ascii="Calibri" w:cs="Calibri" w:eastAsia="Calibri" w:hAnsi="Calibri"/>
          <w:color w:val="1C1C1C"/>
          <w:sz w:val="20"/>
          <w:szCs w:val="20"/>
        </w:rPr>
        <w:t xml:space="preserve">Roadmap to GTM: experienced across product roadmaps, prioritization, prototyping, GTM planning, customer engagement, sales engagement, and delivery.</w:t>
      </w:r>
    </w:p>
    <w:p>
      <w:pPr>
        <w:spacing w:after="46" w:line="246"/>
        <w:ind w:left="230" w:hanging="172"/>
      </w:pPr>
      <w:r>
        <w:rPr>
          <w:rFonts w:ascii="Calibri" w:cs="Calibri" w:eastAsia="Calibri" w:hAnsi="Calibri"/>
          <w:b/>
          <w:bCs/>
          <w:color w:val="1F4A44"/>
          <w:sz w:val="20"/>
          <w:szCs w:val="20"/>
        </w:rPr>
        <w:t xml:space="preserve">–  </w:t>
      </w:r>
      <w:r>
        <w:rPr>
          <w:rFonts w:ascii="Calibri" w:cs="Calibri" w:eastAsia="Calibri" w:hAnsi="Calibri"/>
          <w:color w:val="1C1C1C"/>
          <w:sz w:val="20"/>
          <w:szCs w:val="20"/>
        </w:rPr>
        <w:t xml:space="preserve">Growth-backed product thinking: hands-on experience in acquisition, user research, funnel improvement, and growth execution across high-scale consumer and B2B contexts.</w:t>
      </w:r>
    </w:p>
    <w:p>
      <w:pPr>
        <w:pBdr>
          <w:bottom w:val="single" w:color="D8D8D8" w:sz="4" w:space="4"/>
        </w:pBdr>
        <w:spacing w:after="85" w:before="210"/>
      </w:pPr>
      <w:r>
        <w:rPr>
          <w:rFonts w:ascii="Calibri" w:cs="Calibri" w:eastAsia="Calibri" w:hAnsi="Calibri"/>
          <w:b/>
          <w:bCs/>
          <w:color w:val="1F4A44"/>
          <w:spacing w:val="22"/>
          <w:sz w:val="19"/>
          <w:szCs w:val="19"/>
        </w:rPr>
        <w:t xml:space="preserve">CORE SKILLS</w:t>
      </w:r>
    </w:p>
    <w:p>
      <w:pPr>
        <w:spacing w:after="52" w:line="240"/>
      </w:pPr>
      <w:r>
        <w:rPr>
          <w:rFonts w:ascii="Calibri" w:cs="Calibri" w:eastAsia="Calibri" w:hAnsi="Calibri"/>
          <w:b/>
          <w:bCs/>
          <w:color w:val="1F4A44"/>
          <w:sz w:val="19"/>
          <w:szCs w:val="19"/>
        </w:rPr>
        <w:t xml:space="preserve">Product   </w:t>
      </w:r>
      <w:r>
        <w:rPr>
          <w:rFonts w:ascii="Calibri" w:cs="Calibri" w:eastAsia="Calibri" w:hAnsi="Calibri"/>
          <w:color w:val="1C1C1C"/>
          <w:sz w:val="19"/>
          <w:szCs w:val="19"/>
        </w:rPr>
        <w:t xml:space="preserve">Roadmapping, Discovery, Prioritization, PRDs, GTM, Customer communication, AI workflow design</w:t>
      </w:r>
    </w:p>
    <w:p>
      <w:pPr>
        <w:spacing w:after="52" w:line="240"/>
      </w:pPr>
      <w:r>
        <w:rPr>
          <w:rFonts w:ascii="Calibri" w:cs="Calibri" w:eastAsia="Calibri" w:hAnsi="Calibri"/>
          <w:b/>
          <w:bCs/>
          <w:color w:val="1F4A44"/>
          <w:sz w:val="19"/>
          <w:szCs w:val="19"/>
        </w:rPr>
        <w:t xml:space="preserve">Domains   </w:t>
      </w:r>
      <w:r>
        <w:rPr>
          <w:rFonts w:ascii="Calibri" w:cs="Calibri" w:eastAsia="Calibri" w:hAnsi="Calibri"/>
          <w:color w:val="1C1C1C"/>
          <w:sz w:val="19"/>
          <w:szCs w:val="19"/>
        </w:rPr>
        <w:t xml:space="preserve">GRC, Ethics &amp; Compliance, Localization, Internationalization, AI workflows, Semantic layer, Enterprise SaaS, E-commerce</w:t>
      </w:r>
    </w:p>
    <w:p>
      <w:pPr>
        <w:spacing w:after="52" w:line="240"/>
      </w:pPr>
      <w:r>
        <w:rPr>
          <w:rFonts w:ascii="Calibri" w:cs="Calibri" w:eastAsia="Calibri" w:hAnsi="Calibri"/>
          <w:b/>
          <w:bCs/>
          <w:color w:val="1F4A44"/>
          <w:sz w:val="19"/>
          <w:szCs w:val="19"/>
        </w:rPr>
        <w:t xml:space="preserve">Execution   </w:t>
      </w:r>
      <w:r>
        <w:rPr>
          <w:rFonts w:ascii="Calibri" w:cs="Calibri" w:eastAsia="Calibri" w:hAnsi="Calibri"/>
          <w:color w:val="1C1C1C"/>
          <w:sz w:val="19"/>
          <w:szCs w:val="19"/>
        </w:rPr>
        <w:t xml:space="preserve">Agile/Scrum, Prototyping, Stakeholder demos, UX collaboration, Customer solutioning, AI prototyping</w:t>
      </w:r>
    </w:p>
    <w:p>
      <w:pPr>
        <w:spacing w:after="52" w:line="240"/>
      </w:pPr>
      <w:r>
        <w:rPr>
          <w:rFonts w:ascii="Calibri" w:cs="Calibri" w:eastAsia="Calibri" w:hAnsi="Calibri"/>
          <w:b/>
          <w:bCs/>
          <w:color w:val="1F4A44"/>
          <w:sz w:val="19"/>
          <w:szCs w:val="19"/>
        </w:rPr>
        <w:t xml:space="preserve">Tools   </w:t>
      </w:r>
      <w:r>
        <w:rPr>
          <w:rFonts w:ascii="Calibri" w:cs="Calibri" w:eastAsia="Calibri" w:hAnsi="Calibri"/>
          <w:color w:val="1C1C1C"/>
          <w:sz w:val="19"/>
          <w:szCs w:val="19"/>
        </w:rPr>
        <w:t xml:space="preserve">Jira, Confluence, Figma, Miro, Aha!, Mixpanel, Pendo, Notion, GitHub, NotebookLM, CleverTap, Splunk, Claude Code/Design, Codex</w:t>
      </w:r>
    </w:p>
    <w:p>
      <w:pPr>
        <w:pBdr>
          <w:bottom w:val="single" w:color="D8D8D8" w:sz="4" w:space="4"/>
        </w:pBdr>
        <w:spacing w:after="85" w:before="210"/>
      </w:pPr>
      <w:r>
        <w:rPr>
          <w:rFonts w:ascii="Calibri" w:cs="Calibri" w:eastAsia="Calibri" w:hAnsi="Calibri"/>
          <w:b/>
          <w:bCs/>
          <w:color w:val="1F4A44"/>
          <w:spacing w:val="22"/>
          <w:sz w:val="19"/>
          <w:szCs w:val="19"/>
        </w:rPr>
        <w:t xml:space="preserve">EDUCATION</w:t>
      </w:r>
    </w:p>
    <w:p>
      <w:pPr>
        <w:spacing w:after="36"/>
      </w:pPr>
      <w:r>
        <w:rPr>
          <w:rFonts w:ascii="Calibri" w:cs="Calibri" w:eastAsia="Calibri" w:hAnsi="Calibri"/>
          <w:b/>
          <w:bCs/>
          <w:color w:val="1F4A44"/>
          <w:sz w:val="19"/>
          <w:szCs w:val="19"/>
        </w:rPr>
        <w:t xml:space="preserve">PGDM   </w:t>
      </w:r>
      <w:r>
        <w:rPr>
          <w:rFonts w:ascii="Calibri" w:cs="Calibri" w:eastAsia="Calibri" w:hAnsi="Calibri"/>
          <w:color w:val="1C1C1C"/>
          <w:sz w:val="19"/>
          <w:szCs w:val="19"/>
        </w:rPr>
        <w:t xml:space="preserve">Systems &amp; Operations, Marketing, </w:t>
      </w:r>
      <w:r>
        <w:rPr>
          <w:rFonts w:ascii="Calibri" w:cs="Calibri" w:eastAsia="Calibri" w:hAnsi="Calibri"/>
          <w:i/>
          <w:iCs/>
          <w:color w:val="6E6E6E"/>
          <w:sz w:val="19"/>
          <w:szCs w:val="19"/>
        </w:rPr>
        <w:t xml:space="preserve">SCMS Cochin School of Business</w:t>
      </w:r>
    </w:p>
    <w:p>
      <w:pPr>
        <w:spacing w:after="36"/>
      </w:pPr>
      <w:r>
        <w:rPr>
          <w:rFonts w:ascii="Calibri" w:cs="Calibri" w:eastAsia="Calibri" w:hAnsi="Calibri"/>
          <w:b/>
          <w:bCs/>
          <w:color w:val="1F4A44"/>
          <w:sz w:val="19"/>
          <w:szCs w:val="19"/>
        </w:rPr>
        <w:t xml:space="preserve">B.Sc.   </w:t>
      </w:r>
      <w:r>
        <w:rPr>
          <w:rFonts w:ascii="Calibri" w:cs="Calibri" w:eastAsia="Calibri" w:hAnsi="Calibri"/>
          <w:color w:val="1C1C1C"/>
          <w:sz w:val="19"/>
          <w:szCs w:val="19"/>
        </w:rPr>
        <w:t xml:space="preserve">Information Technology, </w:t>
      </w:r>
      <w:r>
        <w:rPr>
          <w:rFonts w:ascii="Calibri" w:cs="Calibri" w:eastAsia="Calibri" w:hAnsi="Calibri"/>
          <w:i/>
          <w:iCs/>
          <w:color w:val="6E6E6E"/>
          <w:sz w:val="19"/>
          <w:szCs w:val="19"/>
        </w:rPr>
        <w:t xml:space="preserve">Dr. GRD College of Science</w:t>
      </w:r>
    </w:p>
    <w:sectPr>
      <w:pgSz w:w="11906" w:h="16838" w:orient="portrait"/>
      <w:pgMar w:top="792" w:right="936" w:bottom="792" w:left="936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C1C1C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2026-08-27T15:13:56.400Z</dcterms:created>
  <dcterms:modified xsi:type="dcterms:W3CDTF">2026-08-27T15:13:56.419Z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